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08A5" w14:textId="77777777" w:rsidR="008B24E3" w:rsidRDefault="008B24E3" w:rsidP="008B24E3">
      <w:pPr>
        <w:jc w:val="center"/>
        <w:rPr>
          <w:rFonts w:ascii="Calibri" w:hAnsi="Calibri" w:cs="Calibri"/>
          <w:sz w:val="96"/>
          <w:szCs w:val="96"/>
        </w:rPr>
      </w:pPr>
      <w:r w:rsidRPr="008B24E3">
        <w:rPr>
          <w:rFonts w:ascii="Calibri" w:hAnsi="Calibri" w:cs="Calibri"/>
          <w:sz w:val="96"/>
          <w:szCs w:val="96"/>
        </w:rPr>
        <w:t xml:space="preserve">Admissions </w:t>
      </w:r>
    </w:p>
    <w:p w14:paraId="6DAA32B4" w14:textId="03AF05ED" w:rsidR="008B24E3" w:rsidRPr="008B24E3" w:rsidRDefault="008B24E3" w:rsidP="008B24E3">
      <w:pPr>
        <w:jc w:val="center"/>
        <w:rPr>
          <w:rFonts w:ascii="Calibri" w:hAnsi="Calibri" w:cs="Calibri"/>
          <w:sz w:val="96"/>
          <w:szCs w:val="96"/>
        </w:rPr>
      </w:pPr>
      <w:r w:rsidRPr="008B24E3">
        <w:rPr>
          <w:rFonts w:ascii="Calibri" w:hAnsi="Calibri" w:cs="Calibri"/>
          <w:sz w:val="96"/>
          <w:szCs w:val="96"/>
        </w:rPr>
        <w:t>Policy</w:t>
      </w:r>
    </w:p>
    <w:p w14:paraId="75220772" w14:textId="77777777" w:rsidR="008B24E3" w:rsidRDefault="008B24E3"/>
    <w:p w14:paraId="3AE4CCCD" w14:textId="77777777" w:rsidR="008B24E3" w:rsidRDefault="008B24E3"/>
    <w:p w14:paraId="4BB9BD2D" w14:textId="77777777" w:rsidR="008B24E3" w:rsidRDefault="008B24E3"/>
    <w:p w14:paraId="73CFCCB5" w14:textId="77777777" w:rsidR="008B24E3" w:rsidRDefault="008B24E3"/>
    <w:p w14:paraId="786A0006" w14:textId="77777777" w:rsidR="008B24E3" w:rsidRDefault="008B24E3"/>
    <w:p w14:paraId="77D348BA" w14:textId="77777777" w:rsidR="008B24E3" w:rsidRDefault="008B24E3"/>
    <w:p w14:paraId="536E0592" w14:textId="77777777" w:rsidR="008B24E3" w:rsidRDefault="008B24E3"/>
    <w:p w14:paraId="17E4E119" w14:textId="77777777" w:rsidR="008B24E3" w:rsidRDefault="008B24E3"/>
    <w:tbl>
      <w:tblPr>
        <w:tblStyle w:val="TableGrid"/>
        <w:tblpPr w:leftFromText="180" w:rightFromText="180" w:vertAnchor="text" w:horzAnchor="margin" w:tblpY="555"/>
        <w:tblW w:w="0" w:type="auto"/>
        <w:tblLook w:val="04A0" w:firstRow="1" w:lastRow="0" w:firstColumn="1" w:lastColumn="0" w:noHBand="0" w:noVBand="1"/>
      </w:tblPr>
      <w:tblGrid>
        <w:gridCol w:w="2830"/>
        <w:gridCol w:w="1565"/>
      </w:tblGrid>
      <w:tr w:rsidR="008B24E3" w14:paraId="270465AE" w14:textId="77777777" w:rsidTr="00BF0823">
        <w:tc>
          <w:tcPr>
            <w:tcW w:w="2830" w:type="dxa"/>
            <w:tcBorders>
              <w:top w:val="nil"/>
              <w:left w:val="nil"/>
              <w:bottom w:val="nil"/>
              <w:right w:val="nil"/>
            </w:tcBorders>
          </w:tcPr>
          <w:p w14:paraId="5383B1B0" w14:textId="77777777" w:rsidR="008B24E3" w:rsidRDefault="008B24E3" w:rsidP="00BF0823">
            <w:pPr>
              <w:rPr>
                <w:lang w:val="en-US" w:eastAsia="ja-JP"/>
              </w:rPr>
            </w:pPr>
            <w:r>
              <w:rPr>
                <w:lang w:val="en-US" w:eastAsia="ja-JP"/>
              </w:rPr>
              <w:t>Date policy last reviewed:</w:t>
            </w:r>
          </w:p>
        </w:tc>
        <w:tc>
          <w:tcPr>
            <w:tcW w:w="1565" w:type="dxa"/>
            <w:tcBorders>
              <w:top w:val="nil"/>
              <w:left w:val="nil"/>
              <w:right w:val="nil"/>
            </w:tcBorders>
          </w:tcPr>
          <w:p w14:paraId="7E448DE4" w14:textId="77777777" w:rsidR="008B24E3" w:rsidRDefault="008B24E3" w:rsidP="00BF0823">
            <w:pPr>
              <w:rPr>
                <w:lang w:val="en-US" w:eastAsia="ja-JP"/>
              </w:rPr>
            </w:pPr>
          </w:p>
        </w:tc>
      </w:tr>
    </w:tbl>
    <w:p w14:paraId="6EBD95CE" w14:textId="77777777" w:rsidR="008B24E3" w:rsidRDefault="008B24E3" w:rsidP="008B24E3">
      <w:pPr>
        <w:jc w:val="center"/>
        <w:rPr>
          <w:rFonts w:eastAsiaTheme="majorEastAsia" w:cs="Arial"/>
          <w:color w:val="0F4761"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B24E3" w14:paraId="10D6BE1C" w14:textId="77777777" w:rsidTr="00BF0823">
        <w:trPr>
          <w:trHeight w:val="389"/>
        </w:trPr>
        <w:tc>
          <w:tcPr>
            <w:tcW w:w="9026" w:type="dxa"/>
            <w:gridSpan w:val="4"/>
            <w:vAlign w:val="center"/>
          </w:tcPr>
          <w:p w14:paraId="7A28F89E" w14:textId="77777777" w:rsidR="008B24E3" w:rsidRDefault="008B24E3" w:rsidP="00BF0823">
            <w:pPr>
              <w:jc w:val="both"/>
            </w:pPr>
            <w:r>
              <w:t>Signed by:</w:t>
            </w:r>
          </w:p>
        </w:tc>
      </w:tr>
      <w:tr w:rsidR="008B24E3" w14:paraId="54AB912B" w14:textId="77777777" w:rsidTr="00BF0823">
        <w:trPr>
          <w:trHeight w:val="624"/>
        </w:trPr>
        <w:tc>
          <w:tcPr>
            <w:tcW w:w="2813" w:type="dxa"/>
            <w:tcBorders>
              <w:bottom w:val="single" w:sz="2" w:space="0" w:color="auto"/>
            </w:tcBorders>
          </w:tcPr>
          <w:p w14:paraId="194803A1" w14:textId="77777777" w:rsidR="008B24E3" w:rsidRPr="007271AF" w:rsidRDefault="008B24E3" w:rsidP="00BF0823">
            <w:pPr>
              <w:jc w:val="both"/>
            </w:pPr>
          </w:p>
        </w:tc>
        <w:tc>
          <w:tcPr>
            <w:tcW w:w="2149" w:type="dxa"/>
            <w:vAlign w:val="bottom"/>
          </w:tcPr>
          <w:p w14:paraId="7ABFE797" w14:textId="77777777" w:rsidR="008B24E3" w:rsidRPr="0064371A" w:rsidRDefault="008B24E3" w:rsidP="00BF0823">
            <w:r w:rsidRPr="0064371A">
              <w:t>Head</w:t>
            </w:r>
            <w:r>
              <w:t xml:space="preserve"> of Education</w:t>
            </w:r>
          </w:p>
        </w:tc>
        <w:tc>
          <w:tcPr>
            <w:tcW w:w="846" w:type="dxa"/>
            <w:vAlign w:val="bottom"/>
          </w:tcPr>
          <w:p w14:paraId="2F247D39" w14:textId="77777777" w:rsidR="008B24E3" w:rsidRDefault="008B24E3" w:rsidP="00BF0823">
            <w:pPr>
              <w:jc w:val="right"/>
            </w:pPr>
            <w:r w:rsidRPr="007271AF">
              <w:t>Date:</w:t>
            </w:r>
          </w:p>
        </w:tc>
        <w:tc>
          <w:tcPr>
            <w:tcW w:w="3218" w:type="dxa"/>
            <w:tcBorders>
              <w:bottom w:val="single" w:sz="2" w:space="0" w:color="auto"/>
            </w:tcBorders>
          </w:tcPr>
          <w:p w14:paraId="25E4C6CE" w14:textId="77777777" w:rsidR="008B24E3" w:rsidRDefault="008B24E3" w:rsidP="00BF0823">
            <w:pPr>
              <w:jc w:val="both"/>
            </w:pPr>
          </w:p>
        </w:tc>
      </w:tr>
      <w:tr w:rsidR="008B24E3" w14:paraId="5A9D4D04" w14:textId="77777777" w:rsidTr="00BF0823">
        <w:trPr>
          <w:trHeight w:val="624"/>
        </w:trPr>
        <w:tc>
          <w:tcPr>
            <w:tcW w:w="2813" w:type="dxa"/>
            <w:tcBorders>
              <w:top w:val="single" w:sz="2" w:space="0" w:color="auto"/>
              <w:bottom w:val="single" w:sz="4" w:space="0" w:color="auto"/>
            </w:tcBorders>
          </w:tcPr>
          <w:p w14:paraId="54ED11A3" w14:textId="77777777" w:rsidR="008B24E3" w:rsidRPr="007271AF" w:rsidRDefault="008B24E3" w:rsidP="00BF0823">
            <w:pPr>
              <w:jc w:val="both"/>
            </w:pPr>
          </w:p>
        </w:tc>
        <w:tc>
          <w:tcPr>
            <w:tcW w:w="2149" w:type="dxa"/>
            <w:shd w:val="clear" w:color="auto" w:fill="auto"/>
            <w:vAlign w:val="bottom"/>
          </w:tcPr>
          <w:p w14:paraId="25CA6D16" w14:textId="77777777" w:rsidR="008B24E3" w:rsidRPr="0064371A" w:rsidRDefault="008B24E3" w:rsidP="00BF0823">
            <w:pPr>
              <w:rPr>
                <w:highlight w:val="lightGray"/>
              </w:rPr>
            </w:pPr>
            <w:r>
              <w:rPr>
                <w:highlight w:val="lightGray"/>
              </w:rPr>
              <w:t>Director of Care Services</w:t>
            </w:r>
          </w:p>
        </w:tc>
        <w:tc>
          <w:tcPr>
            <w:tcW w:w="846" w:type="dxa"/>
            <w:vAlign w:val="bottom"/>
          </w:tcPr>
          <w:p w14:paraId="61C7BAC9" w14:textId="77777777" w:rsidR="008B24E3" w:rsidRDefault="008B24E3" w:rsidP="00BF0823">
            <w:pPr>
              <w:jc w:val="right"/>
            </w:pPr>
            <w:r w:rsidRPr="007271AF">
              <w:t>Date:</w:t>
            </w:r>
          </w:p>
        </w:tc>
        <w:tc>
          <w:tcPr>
            <w:tcW w:w="3218" w:type="dxa"/>
            <w:tcBorders>
              <w:top w:val="single" w:sz="2" w:space="0" w:color="auto"/>
              <w:bottom w:val="single" w:sz="4" w:space="0" w:color="auto"/>
            </w:tcBorders>
          </w:tcPr>
          <w:p w14:paraId="46558A09" w14:textId="77777777" w:rsidR="008B24E3" w:rsidRDefault="008B24E3" w:rsidP="00BF0823">
            <w:pPr>
              <w:jc w:val="both"/>
            </w:pPr>
          </w:p>
        </w:tc>
      </w:tr>
    </w:tbl>
    <w:p w14:paraId="5FA072CF" w14:textId="77777777" w:rsidR="008B24E3" w:rsidRDefault="008B24E3" w:rsidP="008B24E3">
      <w:pPr>
        <w:rPr>
          <w:b/>
          <w:bCs/>
          <w:sz w:val="32"/>
          <w:szCs w:val="32"/>
        </w:rPr>
      </w:pPr>
      <w:r>
        <w:rPr>
          <w:b/>
          <w:bCs/>
          <w:sz w:val="32"/>
          <w:szCs w:val="32"/>
        </w:rPr>
        <w:br w:type="page"/>
      </w:r>
    </w:p>
    <w:p w14:paraId="1E48934E" w14:textId="02CBFD84" w:rsidR="008B24E3" w:rsidRPr="008B24E3" w:rsidRDefault="008B24E3" w:rsidP="008B24E3">
      <w:pPr>
        <w:rPr>
          <w:rFonts w:ascii="Calibri" w:hAnsi="Calibri" w:cs="Calibri"/>
          <w:b/>
          <w:bCs/>
          <w:sz w:val="24"/>
          <w:szCs w:val="24"/>
        </w:rPr>
      </w:pPr>
      <w:r w:rsidRPr="008B24E3">
        <w:rPr>
          <w:rFonts w:ascii="Calibri" w:hAnsi="Calibri" w:cs="Calibri"/>
          <w:b/>
          <w:bCs/>
          <w:sz w:val="24"/>
          <w:szCs w:val="24"/>
        </w:rPr>
        <w:lastRenderedPageBreak/>
        <w:t xml:space="preserve">Introduction </w:t>
      </w:r>
    </w:p>
    <w:p w14:paraId="1CA9434D" w14:textId="33F18628"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This policy will describe the process of admitting pupils into</w:t>
      </w:r>
      <w:r>
        <w:rPr>
          <w:rFonts w:ascii="Calibri" w:hAnsi="Calibri" w:cs="Calibri"/>
          <w:sz w:val="24"/>
          <w:szCs w:val="24"/>
        </w:rPr>
        <w:t xml:space="preserve"> Ysgol Tan y Gaer</w:t>
      </w:r>
      <w:r w:rsidRPr="008B24E3">
        <w:rPr>
          <w:rFonts w:ascii="Calibri" w:hAnsi="Calibri" w:cs="Calibri"/>
          <w:sz w:val="24"/>
          <w:szCs w:val="24"/>
        </w:rPr>
        <w:t xml:space="preserve">. </w:t>
      </w:r>
    </w:p>
    <w:p w14:paraId="04DA5D77" w14:textId="4C74A023"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This policy is governed by The Independent School Standards (Wales) Regulations 2003 and is additionally informed by the Welsh Government’s School Admissions Code 005/2013 (July2013)  </w:t>
      </w:r>
    </w:p>
    <w:p w14:paraId="656BEB5B" w14:textId="211BFB17"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This policy also aims to ensure consistent practice in the process of referral and admission. </w:t>
      </w:r>
    </w:p>
    <w:p w14:paraId="09A3E7DD" w14:textId="42AF76F7"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Principles  </w:t>
      </w:r>
    </w:p>
    <w:p w14:paraId="32FC62EE" w14:textId="50B0BB93"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All admissions should be planned by the Leadership Team (LT) prior to admission. </w:t>
      </w:r>
    </w:p>
    <w:p w14:paraId="25D3EFB0" w14:textId="00B14CE7"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All prospective pupils, parents/carers and referrers should be provided with the appropriate information in relation to the school via the school prospectus and the school website. </w:t>
      </w:r>
    </w:p>
    <w:p w14:paraId="424D72EB" w14:textId="25978DE2"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Procedure for admissions </w:t>
      </w:r>
    </w:p>
    <w:p w14:paraId="69D58398" w14:textId="71FA3366"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When any referral is made to </w:t>
      </w:r>
      <w:r>
        <w:rPr>
          <w:rFonts w:ascii="Calibri" w:hAnsi="Calibri" w:cs="Calibri"/>
          <w:sz w:val="24"/>
          <w:szCs w:val="24"/>
        </w:rPr>
        <w:t>QEWC</w:t>
      </w:r>
      <w:r w:rsidRPr="008B24E3">
        <w:rPr>
          <w:rFonts w:ascii="Calibri" w:hAnsi="Calibri" w:cs="Calibri"/>
          <w:sz w:val="24"/>
          <w:szCs w:val="24"/>
        </w:rPr>
        <w:t xml:space="preserve">, the </w:t>
      </w:r>
      <w:r>
        <w:rPr>
          <w:rFonts w:ascii="Calibri" w:hAnsi="Calibri" w:cs="Calibri"/>
          <w:sz w:val="24"/>
          <w:szCs w:val="24"/>
        </w:rPr>
        <w:t>Head of Education</w:t>
      </w:r>
      <w:r w:rsidRPr="008B24E3">
        <w:rPr>
          <w:rFonts w:ascii="Calibri" w:hAnsi="Calibri" w:cs="Calibri"/>
          <w:sz w:val="24"/>
          <w:szCs w:val="24"/>
        </w:rPr>
        <w:t xml:space="preserve"> will be informed about the enquiry and will </w:t>
      </w:r>
      <w:r>
        <w:rPr>
          <w:rFonts w:ascii="Calibri" w:hAnsi="Calibri" w:cs="Calibri"/>
          <w:sz w:val="24"/>
          <w:szCs w:val="24"/>
        </w:rPr>
        <w:t>be involved in the initial impact assessment.</w:t>
      </w:r>
      <w:r w:rsidRPr="008B24E3">
        <w:rPr>
          <w:rFonts w:ascii="Calibri" w:hAnsi="Calibri" w:cs="Calibri"/>
          <w:sz w:val="24"/>
          <w:szCs w:val="24"/>
        </w:rPr>
        <w:t xml:space="preserve">  </w:t>
      </w:r>
    </w:p>
    <w:p w14:paraId="5D303AD2" w14:textId="34709801"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The person referring the pupil should arrange for information to be shared with </w:t>
      </w:r>
      <w:r>
        <w:rPr>
          <w:rFonts w:ascii="Calibri" w:hAnsi="Calibri" w:cs="Calibri"/>
          <w:sz w:val="24"/>
          <w:szCs w:val="24"/>
        </w:rPr>
        <w:t>C</w:t>
      </w:r>
      <w:r w:rsidRPr="008B24E3">
        <w:rPr>
          <w:rFonts w:ascii="Calibri" w:hAnsi="Calibri" w:cs="Calibri"/>
          <w:sz w:val="24"/>
          <w:szCs w:val="24"/>
        </w:rPr>
        <w:t xml:space="preserve">LT for an initial determination of compatibility before any response is made to the referring person. This information could include Statements of SEN (New ALN code of Practice 2020 will include Individual Development Plans - IDPs), Education Health Care Plan (EHCP), education reports (including attendance and incident data if appropriate and available), psychological assessments, medical information, court proceedings and present situation (domestic).  </w:t>
      </w:r>
    </w:p>
    <w:p w14:paraId="1E0F093C" w14:textId="73DE76D4"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r>
      <w:r>
        <w:rPr>
          <w:rFonts w:ascii="Calibri" w:hAnsi="Calibri" w:cs="Calibri"/>
          <w:sz w:val="24"/>
          <w:szCs w:val="24"/>
        </w:rPr>
        <w:t>C</w:t>
      </w:r>
      <w:r w:rsidRPr="008B24E3">
        <w:rPr>
          <w:rFonts w:ascii="Calibri" w:hAnsi="Calibri" w:cs="Calibri"/>
          <w:sz w:val="24"/>
          <w:szCs w:val="24"/>
        </w:rPr>
        <w:t xml:space="preserve">LT will share paperwork with BTH Therapy and Psychology Team who will support the admission determination. </w:t>
      </w:r>
    </w:p>
    <w:p w14:paraId="1721710A" w14:textId="5DC4DD74"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If required, the </w:t>
      </w:r>
      <w:r>
        <w:rPr>
          <w:rFonts w:ascii="Calibri" w:hAnsi="Calibri" w:cs="Calibri"/>
          <w:sz w:val="24"/>
          <w:szCs w:val="24"/>
        </w:rPr>
        <w:t>Head of Education</w:t>
      </w:r>
      <w:r w:rsidRPr="008B24E3">
        <w:rPr>
          <w:rFonts w:ascii="Calibri" w:hAnsi="Calibri" w:cs="Calibri"/>
          <w:sz w:val="24"/>
          <w:szCs w:val="24"/>
        </w:rPr>
        <w:t xml:space="preserve"> or a </w:t>
      </w:r>
      <w:r>
        <w:rPr>
          <w:rFonts w:ascii="Calibri" w:hAnsi="Calibri" w:cs="Calibri"/>
          <w:sz w:val="24"/>
          <w:szCs w:val="24"/>
        </w:rPr>
        <w:t>C</w:t>
      </w:r>
      <w:r w:rsidRPr="008B24E3">
        <w:rPr>
          <w:rFonts w:ascii="Calibri" w:hAnsi="Calibri" w:cs="Calibri"/>
          <w:sz w:val="24"/>
          <w:szCs w:val="24"/>
        </w:rPr>
        <w:t xml:space="preserve">LT member may visit the previous school to discuss the pupil.  </w:t>
      </w:r>
    </w:p>
    <w:p w14:paraId="375FB6F8" w14:textId="351C2EDE"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Referrers may be invited to visit</w:t>
      </w:r>
      <w:r>
        <w:rPr>
          <w:rFonts w:ascii="Calibri" w:hAnsi="Calibri" w:cs="Calibri"/>
          <w:sz w:val="24"/>
          <w:szCs w:val="24"/>
        </w:rPr>
        <w:t xml:space="preserve"> the site</w:t>
      </w:r>
      <w:r w:rsidRPr="008B24E3">
        <w:rPr>
          <w:rFonts w:ascii="Calibri" w:hAnsi="Calibri" w:cs="Calibri"/>
          <w:sz w:val="24"/>
          <w:szCs w:val="24"/>
        </w:rPr>
        <w:t xml:space="preserve"> before admission to ensure that the placement and the environment is suitable in meeting the pupils needs. </w:t>
      </w:r>
    </w:p>
    <w:p w14:paraId="6DFB16FE" w14:textId="5D5478CD"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Pupils </w:t>
      </w:r>
      <w:r>
        <w:rPr>
          <w:rFonts w:ascii="Calibri" w:hAnsi="Calibri" w:cs="Calibri"/>
          <w:sz w:val="24"/>
          <w:szCs w:val="24"/>
        </w:rPr>
        <w:t xml:space="preserve">can </w:t>
      </w:r>
      <w:r w:rsidRPr="008B24E3">
        <w:rPr>
          <w:rFonts w:ascii="Calibri" w:hAnsi="Calibri" w:cs="Calibri"/>
          <w:sz w:val="24"/>
          <w:szCs w:val="24"/>
        </w:rPr>
        <w:t>visit before any placement is offered, meet with the other pupils, staff group, and ask any questions. All care will be taken to create the least stressful experience possible</w:t>
      </w:r>
      <w:r>
        <w:rPr>
          <w:rFonts w:ascii="Calibri" w:hAnsi="Calibri" w:cs="Calibri"/>
          <w:sz w:val="24"/>
          <w:szCs w:val="24"/>
        </w:rPr>
        <w:t>.</w:t>
      </w:r>
      <w:r w:rsidRPr="008B24E3">
        <w:rPr>
          <w:rFonts w:ascii="Calibri" w:hAnsi="Calibri" w:cs="Calibri"/>
          <w:sz w:val="24"/>
          <w:szCs w:val="24"/>
        </w:rPr>
        <w:t xml:space="preserve">  </w:t>
      </w:r>
    </w:p>
    <w:p w14:paraId="54ADF260" w14:textId="77777777"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 </w:t>
      </w:r>
    </w:p>
    <w:p w14:paraId="462C474A" w14:textId="77777777" w:rsidR="008B24E3" w:rsidRDefault="008B24E3" w:rsidP="008B24E3">
      <w:pPr>
        <w:rPr>
          <w:rFonts w:ascii="Calibri" w:hAnsi="Calibri" w:cs="Calibri"/>
          <w:sz w:val="24"/>
          <w:szCs w:val="24"/>
        </w:rPr>
      </w:pPr>
      <w:r w:rsidRPr="008B24E3">
        <w:rPr>
          <w:rFonts w:ascii="Calibri" w:hAnsi="Calibri" w:cs="Calibri"/>
          <w:sz w:val="24"/>
          <w:szCs w:val="24"/>
        </w:rPr>
        <w:lastRenderedPageBreak/>
        <w:t>•</w:t>
      </w:r>
      <w:r w:rsidRPr="008B24E3">
        <w:rPr>
          <w:rFonts w:ascii="Calibri" w:hAnsi="Calibri" w:cs="Calibri"/>
          <w:sz w:val="24"/>
          <w:szCs w:val="24"/>
        </w:rPr>
        <w:tab/>
        <w:t xml:space="preserve">A 2nd meeting </w:t>
      </w:r>
      <w:r>
        <w:rPr>
          <w:rFonts w:ascii="Calibri" w:hAnsi="Calibri" w:cs="Calibri"/>
          <w:sz w:val="24"/>
          <w:szCs w:val="24"/>
        </w:rPr>
        <w:t>will</w:t>
      </w:r>
      <w:r w:rsidRPr="008B24E3">
        <w:rPr>
          <w:rFonts w:ascii="Calibri" w:hAnsi="Calibri" w:cs="Calibri"/>
          <w:sz w:val="24"/>
          <w:szCs w:val="24"/>
        </w:rPr>
        <w:t xml:space="preserve"> be held to discuss the placement, complete necessary paperwork (consent forms and the new starter pack) and establish a start date if appropriate.  </w:t>
      </w:r>
    </w:p>
    <w:p w14:paraId="10E5BB01" w14:textId="5DE6050C"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All Stakeholders agree that the placement is dependent upon successful completion of a </w:t>
      </w:r>
      <w:r>
        <w:rPr>
          <w:rFonts w:ascii="Calibri" w:hAnsi="Calibri" w:cs="Calibri"/>
          <w:sz w:val="24"/>
          <w:szCs w:val="24"/>
        </w:rPr>
        <w:t>12</w:t>
      </w:r>
      <w:r w:rsidRPr="008B24E3">
        <w:rPr>
          <w:rFonts w:ascii="Calibri" w:hAnsi="Calibri" w:cs="Calibri"/>
          <w:sz w:val="24"/>
          <w:szCs w:val="24"/>
        </w:rPr>
        <w:t xml:space="preserve">-week assessment process and that the offer of a place may be withdrawn up to this point. </w:t>
      </w:r>
    </w:p>
    <w:p w14:paraId="3CD88221" w14:textId="65EEC9C8"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Admission Criteria  </w:t>
      </w:r>
    </w:p>
    <w:p w14:paraId="30AF0856" w14:textId="03832A37"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Pupils attending School are likely to exhibit </w:t>
      </w:r>
      <w:r>
        <w:rPr>
          <w:rFonts w:ascii="Calibri" w:hAnsi="Calibri" w:cs="Calibri"/>
          <w:sz w:val="24"/>
          <w:szCs w:val="24"/>
        </w:rPr>
        <w:t>SEMH</w:t>
      </w:r>
      <w:r w:rsidRPr="008B24E3">
        <w:rPr>
          <w:rFonts w:ascii="Calibri" w:hAnsi="Calibri" w:cs="Calibri"/>
          <w:sz w:val="24"/>
          <w:szCs w:val="24"/>
        </w:rPr>
        <w:t xml:space="preserve"> and will normally have a Statement of SEN/Individual Development Plan (IDP) or an Education Health Care Plan (EHCP). </w:t>
      </w:r>
    </w:p>
    <w:p w14:paraId="2D1267BA" w14:textId="58E5D9BD"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All stakeholders must agree to the suitability of the placement and commit to the success of the placement including the possible necessity for managed moves. </w:t>
      </w:r>
    </w:p>
    <w:p w14:paraId="362227EF" w14:textId="77777777"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Managed Moves </w:t>
      </w:r>
    </w:p>
    <w:p w14:paraId="1AD7B32F" w14:textId="7E908BE5"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 We recognise managed moves as a tool (amongst others) to reduce the need to permanently exclude. Managed moves are a behaviour management strategy and involve pupils whose behaviour has deteriorated to a level that places them at risk of exclusion. The </w:t>
      </w:r>
      <w:r>
        <w:rPr>
          <w:rFonts w:ascii="Calibri" w:hAnsi="Calibri" w:cs="Calibri"/>
          <w:sz w:val="24"/>
          <w:szCs w:val="24"/>
        </w:rPr>
        <w:t>Head of Education</w:t>
      </w:r>
      <w:r w:rsidRPr="008B24E3">
        <w:rPr>
          <w:rFonts w:ascii="Calibri" w:hAnsi="Calibri" w:cs="Calibri"/>
          <w:sz w:val="24"/>
          <w:szCs w:val="24"/>
        </w:rPr>
        <w:t xml:space="preserve"> (or representative) considers a managed move may be necessary to offer a fresh start in alternative appropriate provision as determined by and in consultation with the pupils Local Authority representatives/stakeholders.   </w:t>
      </w:r>
    </w:p>
    <w:p w14:paraId="40D925D1" w14:textId="4CC7A081"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Prior to </w:t>
      </w:r>
      <w:proofErr w:type="gramStart"/>
      <w:r w:rsidRPr="008B24E3">
        <w:rPr>
          <w:rFonts w:ascii="Calibri" w:hAnsi="Calibri" w:cs="Calibri"/>
          <w:b/>
          <w:bCs/>
          <w:sz w:val="24"/>
          <w:szCs w:val="24"/>
        </w:rPr>
        <w:t>starting</w:t>
      </w:r>
      <w:proofErr w:type="gramEnd"/>
      <w:r w:rsidRPr="008B24E3">
        <w:rPr>
          <w:rFonts w:ascii="Calibri" w:hAnsi="Calibri" w:cs="Calibri"/>
          <w:b/>
          <w:bCs/>
          <w:sz w:val="24"/>
          <w:szCs w:val="24"/>
        </w:rPr>
        <w:t xml:space="preserve"> </w:t>
      </w:r>
    </w:p>
    <w:p w14:paraId="5FCB4CD6" w14:textId="46A8BFA4"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Before any placement can commence documentation should be received from previous schools and Local Authorities, including attendance and ISE data. </w:t>
      </w:r>
    </w:p>
    <w:p w14:paraId="2AE84493" w14:textId="1547D759"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 xml:space="preserve">Before any placement can commence all paperwork must be completed by whoever has legal responsibility and the expectation is that this is actioned by carers in the case of looked after pupils: medical consent forms, IT agreements, image consents, trips, and offsite visits consents. </w:t>
      </w:r>
    </w:p>
    <w:p w14:paraId="2B9B7878" w14:textId="43AD59FB" w:rsidR="008B24E3" w:rsidRPr="008B24E3" w:rsidRDefault="008B24E3" w:rsidP="008B24E3">
      <w:pPr>
        <w:rPr>
          <w:rFonts w:ascii="Calibri" w:hAnsi="Calibri" w:cs="Calibri"/>
          <w:sz w:val="24"/>
          <w:szCs w:val="24"/>
        </w:rPr>
      </w:pPr>
      <w:r w:rsidRPr="008B24E3">
        <w:rPr>
          <w:rFonts w:ascii="Calibri" w:hAnsi="Calibri" w:cs="Calibri"/>
          <w:sz w:val="24"/>
          <w:szCs w:val="24"/>
        </w:rPr>
        <w:t>•</w:t>
      </w:r>
      <w:r w:rsidRPr="008B24E3">
        <w:rPr>
          <w:rFonts w:ascii="Calibri" w:hAnsi="Calibri" w:cs="Calibri"/>
          <w:sz w:val="24"/>
          <w:szCs w:val="24"/>
        </w:rPr>
        <w:tab/>
        <w:t>Any medication should be delivered to school as per</w:t>
      </w:r>
      <w:r>
        <w:rPr>
          <w:rFonts w:ascii="Calibri" w:hAnsi="Calibri" w:cs="Calibri"/>
          <w:sz w:val="24"/>
          <w:szCs w:val="24"/>
        </w:rPr>
        <w:t xml:space="preserve"> the</w:t>
      </w:r>
      <w:r w:rsidRPr="008B24E3">
        <w:rPr>
          <w:rFonts w:ascii="Calibri" w:hAnsi="Calibri" w:cs="Calibri"/>
          <w:sz w:val="24"/>
          <w:szCs w:val="24"/>
        </w:rPr>
        <w:t xml:space="preserve"> Policy on medication. </w:t>
      </w:r>
    </w:p>
    <w:p w14:paraId="15CEAA8B" w14:textId="7F7AECBC"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 </w:t>
      </w:r>
    </w:p>
    <w:p w14:paraId="12BE4B55" w14:textId="37595883"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Linked Documents  </w:t>
      </w:r>
    </w:p>
    <w:p w14:paraId="295CC024" w14:textId="77777777"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The Independent School Standards 2003 </w:t>
      </w:r>
    </w:p>
    <w:p w14:paraId="6643EAC2" w14:textId="77777777"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Schools Admissions Code 005/2013 (July 2013)  </w:t>
      </w:r>
    </w:p>
    <w:p w14:paraId="569211D5" w14:textId="77777777"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 </w:t>
      </w:r>
    </w:p>
    <w:p w14:paraId="547B27BE" w14:textId="77777777" w:rsidR="008B24E3" w:rsidRDefault="008B24E3" w:rsidP="008B24E3">
      <w:pPr>
        <w:jc w:val="center"/>
        <w:rPr>
          <w:rFonts w:ascii="Calibri" w:hAnsi="Calibri" w:cs="Calibri"/>
          <w:b/>
          <w:bCs/>
          <w:sz w:val="24"/>
          <w:szCs w:val="24"/>
        </w:rPr>
      </w:pPr>
    </w:p>
    <w:p w14:paraId="54C93ABB" w14:textId="370EF935" w:rsidR="008B24E3" w:rsidRPr="008B24E3" w:rsidRDefault="008B24E3" w:rsidP="008B24E3">
      <w:pPr>
        <w:jc w:val="center"/>
        <w:rPr>
          <w:rFonts w:ascii="Calibri" w:hAnsi="Calibri" w:cs="Calibri"/>
          <w:b/>
          <w:bCs/>
          <w:sz w:val="24"/>
          <w:szCs w:val="24"/>
        </w:rPr>
      </w:pPr>
      <w:r w:rsidRPr="008B24E3">
        <w:rPr>
          <w:rFonts w:ascii="Calibri" w:hAnsi="Calibri" w:cs="Calibri"/>
          <w:b/>
          <w:bCs/>
          <w:sz w:val="24"/>
          <w:szCs w:val="24"/>
        </w:rPr>
        <w:lastRenderedPageBreak/>
        <w:t>Appendix 1</w:t>
      </w:r>
    </w:p>
    <w:p w14:paraId="46DEF3A5" w14:textId="77777777"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 </w:t>
      </w:r>
    </w:p>
    <w:p w14:paraId="18F9E69B" w14:textId="5D88FC2D"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Step 1 </w:t>
      </w:r>
    </w:p>
    <w:p w14:paraId="3C6C8DC1" w14:textId="4C96DCA2"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Referrer contacts </w:t>
      </w:r>
      <w:r w:rsidR="00B47DA7">
        <w:rPr>
          <w:rFonts w:ascii="Calibri" w:hAnsi="Calibri" w:cs="Calibri"/>
          <w:sz w:val="24"/>
          <w:szCs w:val="24"/>
        </w:rPr>
        <w:t>QEWC</w:t>
      </w:r>
      <w:r w:rsidRPr="008B24E3">
        <w:rPr>
          <w:rFonts w:ascii="Calibri" w:hAnsi="Calibri" w:cs="Calibri"/>
          <w:sz w:val="24"/>
          <w:szCs w:val="24"/>
        </w:rPr>
        <w:t xml:space="preserve"> </w:t>
      </w:r>
    </w:p>
    <w:p w14:paraId="2B86E8DA" w14:textId="77777777"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Step 2 </w:t>
      </w:r>
    </w:p>
    <w:p w14:paraId="553FB3E5" w14:textId="529B22A5" w:rsidR="008B24E3" w:rsidRPr="008B24E3" w:rsidRDefault="008B24E3" w:rsidP="008B24E3">
      <w:pPr>
        <w:rPr>
          <w:rFonts w:ascii="Calibri" w:hAnsi="Calibri" w:cs="Calibri"/>
          <w:sz w:val="24"/>
          <w:szCs w:val="24"/>
        </w:rPr>
      </w:pPr>
      <w:r w:rsidRPr="008B24E3">
        <w:rPr>
          <w:rFonts w:ascii="Calibri" w:hAnsi="Calibri" w:cs="Calibri"/>
          <w:sz w:val="24"/>
          <w:szCs w:val="24"/>
        </w:rPr>
        <w:t>The person referring the pupil is contacted to arrange for information to be forwarded before being shared with School SLT/</w:t>
      </w:r>
      <w:proofErr w:type="spellStart"/>
      <w:r w:rsidRPr="008B24E3">
        <w:rPr>
          <w:rFonts w:ascii="Calibri" w:hAnsi="Calibri" w:cs="Calibri"/>
          <w:sz w:val="24"/>
          <w:szCs w:val="24"/>
        </w:rPr>
        <w:t>TaP</w:t>
      </w:r>
      <w:proofErr w:type="spellEnd"/>
      <w:r w:rsidRPr="008B24E3">
        <w:rPr>
          <w:rFonts w:ascii="Calibri" w:hAnsi="Calibri" w:cs="Calibri"/>
          <w:sz w:val="24"/>
          <w:szCs w:val="24"/>
        </w:rPr>
        <w:t xml:space="preserve"> Team for an initial determination of compatibility before any response is made to the referring person. </w:t>
      </w:r>
    </w:p>
    <w:p w14:paraId="736D0D65" w14:textId="73B4B091"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This information could include Statements of SEN, Education Health Care Plan (EHCP) education reports, psychological assessments, medical information, court proceedings and present situation. </w:t>
      </w:r>
    </w:p>
    <w:p w14:paraId="39A7CE1C" w14:textId="77777777"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Step 3 </w:t>
      </w:r>
    </w:p>
    <w:p w14:paraId="5E91BB30" w14:textId="5924614F"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If required, the </w:t>
      </w:r>
      <w:r>
        <w:rPr>
          <w:rFonts w:ascii="Calibri" w:hAnsi="Calibri" w:cs="Calibri"/>
          <w:sz w:val="24"/>
          <w:szCs w:val="24"/>
        </w:rPr>
        <w:t xml:space="preserve">Head of Education </w:t>
      </w:r>
      <w:r w:rsidRPr="008B24E3">
        <w:rPr>
          <w:rFonts w:ascii="Calibri" w:hAnsi="Calibri" w:cs="Calibri"/>
          <w:sz w:val="24"/>
          <w:szCs w:val="24"/>
        </w:rPr>
        <w:t xml:space="preserve">or an </w:t>
      </w:r>
      <w:r>
        <w:rPr>
          <w:rFonts w:ascii="Calibri" w:hAnsi="Calibri" w:cs="Calibri"/>
          <w:sz w:val="24"/>
          <w:szCs w:val="24"/>
        </w:rPr>
        <w:t>C</w:t>
      </w:r>
      <w:r w:rsidRPr="008B24E3">
        <w:rPr>
          <w:rFonts w:ascii="Calibri" w:hAnsi="Calibri" w:cs="Calibri"/>
          <w:sz w:val="24"/>
          <w:szCs w:val="24"/>
        </w:rPr>
        <w:t xml:space="preserve">LT member may visit the previous school to discuss the pupil. </w:t>
      </w:r>
    </w:p>
    <w:p w14:paraId="17C70392" w14:textId="77777777"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Step 4 </w:t>
      </w:r>
    </w:p>
    <w:p w14:paraId="62C1856B" w14:textId="1748A666" w:rsidR="008B24E3" w:rsidRPr="008B24E3" w:rsidRDefault="008B24E3" w:rsidP="008B24E3">
      <w:pPr>
        <w:rPr>
          <w:rFonts w:ascii="Calibri" w:hAnsi="Calibri" w:cs="Calibri"/>
          <w:sz w:val="24"/>
          <w:szCs w:val="24"/>
        </w:rPr>
      </w:pPr>
      <w:r w:rsidRPr="008B24E3">
        <w:rPr>
          <w:rFonts w:ascii="Calibri" w:hAnsi="Calibri" w:cs="Calibri"/>
          <w:sz w:val="24"/>
          <w:szCs w:val="24"/>
        </w:rPr>
        <w:t>Referrers/stakeholders may be invited to visit Bryn Tirion Hall S</w:t>
      </w:r>
      <w:r w:rsidR="00B47DA7">
        <w:rPr>
          <w:rFonts w:ascii="Calibri" w:hAnsi="Calibri" w:cs="Calibri"/>
          <w:sz w:val="24"/>
          <w:szCs w:val="24"/>
        </w:rPr>
        <w:t>ite</w:t>
      </w:r>
      <w:r w:rsidRPr="008B24E3">
        <w:rPr>
          <w:rFonts w:ascii="Calibri" w:hAnsi="Calibri" w:cs="Calibri"/>
          <w:sz w:val="24"/>
          <w:szCs w:val="24"/>
        </w:rPr>
        <w:t xml:space="preserve"> before admission to ensure that the placement and the environment is suitable in meeting the pupils needs. </w:t>
      </w:r>
    </w:p>
    <w:p w14:paraId="628E1C33" w14:textId="1D5A86EA" w:rsidR="008B24E3" w:rsidRPr="008B24E3" w:rsidRDefault="008B24E3" w:rsidP="008B24E3">
      <w:pPr>
        <w:rPr>
          <w:rFonts w:ascii="Calibri" w:hAnsi="Calibri" w:cs="Calibri"/>
          <w:sz w:val="24"/>
          <w:szCs w:val="24"/>
        </w:rPr>
      </w:pPr>
      <w:r w:rsidRPr="008B24E3">
        <w:rPr>
          <w:rFonts w:ascii="Calibri" w:hAnsi="Calibri" w:cs="Calibri"/>
          <w:b/>
          <w:bCs/>
          <w:sz w:val="24"/>
          <w:szCs w:val="24"/>
        </w:rPr>
        <w:t xml:space="preserve">Step 5 </w:t>
      </w:r>
      <w:r w:rsidRPr="008B24E3">
        <w:rPr>
          <w:rFonts w:ascii="Calibri" w:hAnsi="Calibri" w:cs="Calibri"/>
          <w:sz w:val="24"/>
          <w:szCs w:val="24"/>
        </w:rPr>
        <w:t xml:space="preserve"> </w:t>
      </w:r>
    </w:p>
    <w:p w14:paraId="00DCCA97" w14:textId="7B34750C"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Pupils must visit </w:t>
      </w:r>
      <w:r>
        <w:rPr>
          <w:rFonts w:ascii="Calibri" w:hAnsi="Calibri" w:cs="Calibri"/>
          <w:sz w:val="24"/>
          <w:szCs w:val="24"/>
        </w:rPr>
        <w:t>the site</w:t>
      </w:r>
      <w:r w:rsidRPr="008B24E3">
        <w:rPr>
          <w:rFonts w:ascii="Calibri" w:hAnsi="Calibri" w:cs="Calibri"/>
          <w:sz w:val="24"/>
          <w:szCs w:val="24"/>
        </w:rPr>
        <w:t xml:space="preserve"> before placement is offered, meet with the other pupils, staff group, and ask any questions.   </w:t>
      </w:r>
    </w:p>
    <w:p w14:paraId="0BAA3443" w14:textId="13B0746D" w:rsidR="008B24E3" w:rsidRPr="008B24E3" w:rsidRDefault="008B24E3" w:rsidP="008B24E3">
      <w:pPr>
        <w:rPr>
          <w:rFonts w:ascii="Calibri" w:hAnsi="Calibri" w:cs="Calibri"/>
          <w:sz w:val="24"/>
          <w:szCs w:val="24"/>
        </w:rPr>
      </w:pPr>
      <w:r w:rsidRPr="008B24E3">
        <w:rPr>
          <w:rFonts w:ascii="Calibri" w:hAnsi="Calibri" w:cs="Calibri"/>
          <w:b/>
          <w:bCs/>
          <w:sz w:val="24"/>
          <w:szCs w:val="24"/>
        </w:rPr>
        <w:t xml:space="preserve">Step 6 </w:t>
      </w:r>
      <w:r w:rsidRPr="008B24E3">
        <w:rPr>
          <w:rFonts w:ascii="Calibri" w:hAnsi="Calibri" w:cs="Calibri"/>
          <w:sz w:val="24"/>
          <w:szCs w:val="24"/>
        </w:rPr>
        <w:t xml:space="preserve"> </w:t>
      </w:r>
    </w:p>
    <w:p w14:paraId="6DBEE4F7" w14:textId="185A6D0B" w:rsidR="008B24E3" w:rsidRPr="008B24E3" w:rsidRDefault="008B24E3" w:rsidP="008B24E3">
      <w:pPr>
        <w:rPr>
          <w:rFonts w:ascii="Calibri" w:hAnsi="Calibri" w:cs="Calibri"/>
          <w:sz w:val="24"/>
          <w:szCs w:val="24"/>
        </w:rPr>
      </w:pPr>
      <w:r w:rsidRPr="008B24E3">
        <w:rPr>
          <w:rFonts w:ascii="Calibri" w:hAnsi="Calibri" w:cs="Calibri"/>
          <w:sz w:val="24"/>
          <w:szCs w:val="24"/>
        </w:rPr>
        <w:t xml:space="preserve">Once the offer of placement has been agreed a pre-admission meeting must be held between refers, parents/carers and </w:t>
      </w:r>
      <w:r>
        <w:rPr>
          <w:rFonts w:ascii="Calibri" w:hAnsi="Calibri" w:cs="Calibri"/>
          <w:sz w:val="24"/>
          <w:szCs w:val="24"/>
        </w:rPr>
        <w:t>s</w:t>
      </w:r>
      <w:r w:rsidRPr="008B24E3">
        <w:rPr>
          <w:rFonts w:ascii="Calibri" w:hAnsi="Calibri" w:cs="Calibri"/>
          <w:sz w:val="24"/>
          <w:szCs w:val="24"/>
        </w:rPr>
        <w:t xml:space="preserve">chool to discuss the placement and establish a start date. </w:t>
      </w:r>
    </w:p>
    <w:p w14:paraId="1A9A54C9" w14:textId="45FDF261" w:rsidR="008B24E3" w:rsidRPr="008B24E3" w:rsidRDefault="008B24E3" w:rsidP="008B24E3">
      <w:pPr>
        <w:rPr>
          <w:rFonts w:ascii="Calibri" w:hAnsi="Calibri" w:cs="Calibri"/>
          <w:b/>
          <w:bCs/>
          <w:sz w:val="24"/>
          <w:szCs w:val="24"/>
        </w:rPr>
      </w:pPr>
      <w:r w:rsidRPr="008B24E3">
        <w:rPr>
          <w:rFonts w:ascii="Calibri" w:hAnsi="Calibri" w:cs="Calibri"/>
          <w:b/>
          <w:bCs/>
          <w:sz w:val="24"/>
          <w:szCs w:val="24"/>
        </w:rPr>
        <w:t xml:space="preserve">Step 7 </w:t>
      </w:r>
    </w:p>
    <w:p w14:paraId="16F4E2DC" w14:textId="26D42DE6" w:rsidR="003F418A" w:rsidRPr="00B47DA7" w:rsidRDefault="008B24E3">
      <w:pPr>
        <w:rPr>
          <w:rFonts w:ascii="Calibri" w:hAnsi="Calibri" w:cs="Calibri"/>
          <w:sz w:val="24"/>
          <w:szCs w:val="24"/>
        </w:rPr>
      </w:pPr>
      <w:r w:rsidRPr="008B24E3">
        <w:rPr>
          <w:rFonts w:ascii="Calibri" w:hAnsi="Calibri" w:cs="Calibri"/>
          <w:sz w:val="24"/>
          <w:szCs w:val="24"/>
        </w:rPr>
        <w:t xml:space="preserve">All Stakeholders agree that the placement is dependent upon successful completion of the </w:t>
      </w:r>
      <w:r>
        <w:rPr>
          <w:rFonts w:ascii="Calibri" w:hAnsi="Calibri" w:cs="Calibri"/>
          <w:sz w:val="24"/>
          <w:szCs w:val="24"/>
        </w:rPr>
        <w:t>12</w:t>
      </w:r>
      <w:r w:rsidRPr="008B24E3">
        <w:rPr>
          <w:rFonts w:ascii="Calibri" w:hAnsi="Calibri" w:cs="Calibri"/>
          <w:sz w:val="24"/>
          <w:szCs w:val="24"/>
        </w:rPr>
        <w:t xml:space="preserve">-week assessment procedures and agree to abide by the admissions policy. </w:t>
      </w:r>
    </w:p>
    <w:sectPr w:rsidR="003F418A" w:rsidRPr="00B47DA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0F23" w14:textId="77777777" w:rsidR="005837F1" w:rsidRDefault="005837F1" w:rsidP="008B24E3">
      <w:pPr>
        <w:spacing w:after="0" w:line="240" w:lineRule="auto"/>
      </w:pPr>
      <w:r>
        <w:separator/>
      </w:r>
    </w:p>
  </w:endnote>
  <w:endnote w:type="continuationSeparator" w:id="0">
    <w:p w14:paraId="4873F8E9" w14:textId="77777777" w:rsidR="005837F1" w:rsidRDefault="005837F1" w:rsidP="008B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BADD" w14:textId="77777777" w:rsidR="008B24E3" w:rsidRDefault="008B2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C361" w14:textId="77777777" w:rsidR="008B24E3" w:rsidRDefault="008B2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B9F0" w14:textId="77777777" w:rsidR="008B24E3" w:rsidRDefault="008B2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A6A2" w14:textId="77777777" w:rsidR="005837F1" w:rsidRDefault="005837F1" w:rsidP="008B24E3">
      <w:pPr>
        <w:spacing w:after="0" w:line="240" w:lineRule="auto"/>
      </w:pPr>
      <w:r>
        <w:separator/>
      </w:r>
    </w:p>
  </w:footnote>
  <w:footnote w:type="continuationSeparator" w:id="0">
    <w:p w14:paraId="23A84E08" w14:textId="77777777" w:rsidR="005837F1" w:rsidRDefault="005837F1" w:rsidP="008B2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6221" w14:textId="1169F143" w:rsidR="008B24E3" w:rsidRDefault="00000000">
    <w:pPr>
      <w:pStyle w:val="Header"/>
    </w:pPr>
    <w:r>
      <w:rPr>
        <w:noProof/>
        <w14:ligatures w14:val="standardContextual"/>
      </w:rPr>
      <w:pict w14:anchorId="28595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423001" o:spid="_x0000_s1026" type="#_x0000_t75" style="position:absolute;margin-left:0;margin-top:0;width:451.1pt;height:399.25pt;z-index:-251657216;mso-position-horizontal:center;mso-position-horizontal-relative:margin;mso-position-vertical:center;mso-position-vertical-relative:margin" o:allowincell="f">
          <v:imagedata r:id="rId1" o:title="final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7350" w14:textId="06EB0AD5" w:rsidR="008B24E3" w:rsidRDefault="00000000">
    <w:pPr>
      <w:pStyle w:val="Header"/>
    </w:pPr>
    <w:r>
      <w:rPr>
        <w:noProof/>
        <w14:ligatures w14:val="standardContextual"/>
      </w:rPr>
      <w:pict w14:anchorId="020B3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423002" o:spid="_x0000_s1027" type="#_x0000_t75" style="position:absolute;margin-left:0;margin-top:0;width:451.1pt;height:399.25pt;z-index:-251656192;mso-position-horizontal:center;mso-position-horizontal-relative:margin;mso-position-vertical:center;mso-position-vertical-relative:margin" o:allowincell="f">
          <v:imagedata r:id="rId1" o:title="final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586" w14:textId="788CF1A5" w:rsidR="008B24E3" w:rsidRDefault="00000000">
    <w:pPr>
      <w:pStyle w:val="Header"/>
    </w:pPr>
    <w:r>
      <w:rPr>
        <w:noProof/>
        <w14:ligatures w14:val="standardContextual"/>
      </w:rPr>
      <w:pict w14:anchorId="521F2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423000" o:spid="_x0000_s1025" type="#_x0000_t75" style="position:absolute;margin-left:0;margin-top:0;width:451.1pt;height:399.25pt;z-index:-251658240;mso-position-horizontal:center;mso-position-horizontal-relative:margin;mso-position-vertical:center;mso-position-vertical-relative:margin" o:allowincell="f">
          <v:imagedata r:id="rId1" o:title="final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E3"/>
    <w:rsid w:val="00013A02"/>
    <w:rsid w:val="003F418A"/>
    <w:rsid w:val="003F6681"/>
    <w:rsid w:val="00556D38"/>
    <w:rsid w:val="005837F1"/>
    <w:rsid w:val="005C4F44"/>
    <w:rsid w:val="008B24E3"/>
    <w:rsid w:val="00B17C32"/>
    <w:rsid w:val="00B47DA7"/>
    <w:rsid w:val="00F6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71C9A"/>
  <w15:chartTrackingRefBased/>
  <w15:docId w15:val="{5C20FFBE-0835-48C8-AFD6-C339994B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E3"/>
    <w:pPr>
      <w:spacing w:after="200" w:line="276" w:lineRule="auto"/>
    </w:pPr>
    <w:rPr>
      <w:rFonts w:ascii="Arial" w:hAnsi="Arial" w:cs="Times New Roman"/>
      <w:kern w:val="0"/>
      <w14:ligatures w14:val="none"/>
    </w:rPr>
  </w:style>
  <w:style w:type="paragraph" w:styleId="Heading1">
    <w:name w:val="heading 1"/>
    <w:basedOn w:val="Normal"/>
    <w:next w:val="Normal"/>
    <w:link w:val="Heading1Char"/>
    <w:uiPriority w:val="9"/>
    <w:qFormat/>
    <w:rsid w:val="008B24E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24E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24E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24E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B24E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B24E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B24E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B24E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B24E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4E3"/>
    <w:rPr>
      <w:rFonts w:eastAsiaTheme="majorEastAsia" w:cstheme="majorBidi"/>
      <w:color w:val="272727" w:themeColor="text1" w:themeTint="D8"/>
    </w:rPr>
  </w:style>
  <w:style w:type="paragraph" w:styleId="Title">
    <w:name w:val="Title"/>
    <w:basedOn w:val="Normal"/>
    <w:next w:val="Normal"/>
    <w:link w:val="TitleChar"/>
    <w:uiPriority w:val="10"/>
    <w:qFormat/>
    <w:rsid w:val="008B24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2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4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2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4E3"/>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B24E3"/>
    <w:rPr>
      <w:i/>
      <w:iCs/>
      <w:color w:val="404040" w:themeColor="text1" w:themeTint="BF"/>
    </w:rPr>
  </w:style>
  <w:style w:type="paragraph" w:styleId="ListParagraph">
    <w:name w:val="List Paragraph"/>
    <w:basedOn w:val="Normal"/>
    <w:uiPriority w:val="34"/>
    <w:qFormat/>
    <w:rsid w:val="008B24E3"/>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B24E3"/>
    <w:rPr>
      <w:i/>
      <w:iCs/>
      <w:color w:val="0F4761" w:themeColor="accent1" w:themeShade="BF"/>
    </w:rPr>
  </w:style>
  <w:style w:type="paragraph" w:styleId="IntenseQuote">
    <w:name w:val="Intense Quote"/>
    <w:basedOn w:val="Normal"/>
    <w:next w:val="Normal"/>
    <w:link w:val="IntenseQuoteChar"/>
    <w:uiPriority w:val="30"/>
    <w:qFormat/>
    <w:rsid w:val="008B24E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B24E3"/>
    <w:rPr>
      <w:i/>
      <w:iCs/>
      <w:color w:val="0F4761" w:themeColor="accent1" w:themeShade="BF"/>
    </w:rPr>
  </w:style>
  <w:style w:type="character" w:styleId="IntenseReference">
    <w:name w:val="Intense Reference"/>
    <w:basedOn w:val="DefaultParagraphFont"/>
    <w:uiPriority w:val="32"/>
    <w:qFormat/>
    <w:rsid w:val="008B24E3"/>
    <w:rPr>
      <w:b/>
      <w:bCs/>
      <w:smallCaps/>
      <w:color w:val="0F4761" w:themeColor="accent1" w:themeShade="BF"/>
      <w:spacing w:val="5"/>
    </w:rPr>
  </w:style>
  <w:style w:type="table" w:styleId="TableGrid">
    <w:name w:val="Table Grid"/>
    <w:basedOn w:val="TableNormal"/>
    <w:uiPriority w:val="59"/>
    <w:rsid w:val="008B24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4E3"/>
    <w:rPr>
      <w:rFonts w:ascii="Arial" w:hAnsi="Arial" w:cs="Times New Roman"/>
      <w:kern w:val="0"/>
      <w14:ligatures w14:val="none"/>
    </w:rPr>
  </w:style>
  <w:style w:type="paragraph" w:styleId="Footer">
    <w:name w:val="footer"/>
    <w:basedOn w:val="Normal"/>
    <w:link w:val="FooterChar"/>
    <w:uiPriority w:val="99"/>
    <w:unhideWhenUsed/>
    <w:rsid w:val="008B2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4E3"/>
    <w:rPr>
      <w:rFonts w:ascii="Arial"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Cass</dc:creator>
  <cp:keywords/>
  <dc:description/>
  <cp:lastModifiedBy>Gavin Cass</cp:lastModifiedBy>
  <cp:revision>2</cp:revision>
  <dcterms:created xsi:type="dcterms:W3CDTF">2024-03-21T08:36:00Z</dcterms:created>
  <dcterms:modified xsi:type="dcterms:W3CDTF">2024-03-21T08:36:00Z</dcterms:modified>
</cp:coreProperties>
</file>